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A30A" w14:textId="77777777" w:rsidR="0066670E" w:rsidRPr="00F311BA" w:rsidRDefault="0066670E" w:rsidP="00B77BFD">
      <w:pPr>
        <w:pStyle w:val="Ttulo"/>
        <w:spacing w:line="276" w:lineRule="auto"/>
        <w:ind w:left="708" w:hanging="708"/>
        <w:rPr>
          <w:rFonts w:asciiTheme="minorHAnsi" w:hAnsiTheme="minorHAnsi" w:cstheme="minorHAnsi"/>
          <w:szCs w:val="24"/>
          <w:u w:val="single"/>
          <w:lang w:val="es-ES_tradnl"/>
        </w:rPr>
      </w:pPr>
    </w:p>
    <w:p w14:paraId="120F998B" w14:textId="77777777" w:rsidR="0066670E" w:rsidRPr="004A64D7" w:rsidRDefault="0066670E" w:rsidP="008D38C6">
      <w:pPr>
        <w:pStyle w:val="Ttulo"/>
        <w:rPr>
          <w:rFonts w:asciiTheme="minorHAnsi" w:hAnsiTheme="minorHAnsi" w:cstheme="minorHAnsi"/>
          <w:szCs w:val="24"/>
          <w:u w:val="single"/>
          <w:lang w:val="es-CL"/>
        </w:rPr>
      </w:pPr>
      <w:r w:rsidRPr="00F311BA">
        <w:rPr>
          <w:rFonts w:asciiTheme="minorHAnsi" w:hAnsiTheme="minorHAnsi" w:cstheme="minorHAnsi"/>
          <w:szCs w:val="24"/>
          <w:u w:val="single"/>
          <w:lang w:val="es-ES_tradnl"/>
        </w:rPr>
        <w:t>COMPRAVENTA DE ACCIONES</w:t>
      </w:r>
    </w:p>
    <w:p w14:paraId="7B8213FA" w14:textId="77777777" w:rsidR="0066670E" w:rsidRPr="00F311BA" w:rsidRDefault="0066670E" w:rsidP="008D38C6">
      <w:pPr>
        <w:pStyle w:val="Ttulo"/>
        <w:rPr>
          <w:rFonts w:asciiTheme="minorHAnsi" w:hAnsiTheme="minorHAnsi" w:cstheme="minorHAnsi"/>
          <w:b w:val="0"/>
          <w:szCs w:val="24"/>
          <w:highlight w:val="yellow"/>
          <w:lang w:val="es-CL"/>
        </w:rPr>
      </w:pPr>
    </w:p>
    <w:p w14:paraId="48455DA6" w14:textId="77777777" w:rsidR="0066670E" w:rsidRPr="00F311BA" w:rsidRDefault="0066670E" w:rsidP="008D38C6">
      <w:pPr>
        <w:pStyle w:val="Ttulo"/>
        <w:rPr>
          <w:rFonts w:asciiTheme="minorHAnsi" w:hAnsiTheme="minorHAnsi" w:cstheme="minorHAnsi"/>
          <w:szCs w:val="24"/>
          <w:highlight w:val="yellow"/>
          <w:lang w:val="es-CL"/>
        </w:rPr>
      </w:pPr>
      <w:r w:rsidRPr="00F311BA">
        <w:rPr>
          <w:rFonts w:asciiTheme="minorHAnsi" w:hAnsiTheme="minorHAnsi" w:cstheme="minorHAnsi"/>
          <w:szCs w:val="24"/>
          <w:highlight w:val="yellow"/>
          <w:lang w:val="es-CL"/>
        </w:rPr>
        <w:t>(Nombre de la sociedad)</w:t>
      </w:r>
    </w:p>
    <w:p w14:paraId="28267EA6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highlight w:val="yellow"/>
          <w:lang w:val="es-CL"/>
        </w:rPr>
      </w:pPr>
    </w:p>
    <w:p w14:paraId="67D57BDF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highlight w:val="yellow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highlight w:val="yellow"/>
          <w:lang w:val="es-ES_tradnl"/>
        </w:rPr>
        <w:t>(Nombre o razón social del vendedor)</w:t>
      </w:r>
    </w:p>
    <w:p w14:paraId="03FE047D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highlight w:val="yellow"/>
          <w:lang w:val="es-ES_tradnl"/>
        </w:rPr>
      </w:pPr>
    </w:p>
    <w:p w14:paraId="42FEE728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highlight w:val="yellow"/>
          <w:lang w:val="es-ES_tradnl"/>
        </w:rPr>
        <w:t>A</w:t>
      </w:r>
    </w:p>
    <w:p w14:paraId="47F6C8C4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6180DBDF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lang w:val="es-CL"/>
        </w:rPr>
      </w:pPr>
      <w:r w:rsidRPr="00F311BA">
        <w:rPr>
          <w:rFonts w:asciiTheme="minorHAnsi" w:hAnsiTheme="minorHAnsi" w:cstheme="minorHAnsi"/>
          <w:b/>
          <w:spacing w:val="-2"/>
          <w:sz w:val="24"/>
          <w:szCs w:val="24"/>
          <w:highlight w:val="yellow"/>
          <w:lang w:val="es-CL"/>
        </w:rPr>
        <w:t>(</w:t>
      </w:r>
      <w:r w:rsidRPr="00F311BA">
        <w:rPr>
          <w:rFonts w:asciiTheme="minorHAnsi" w:hAnsiTheme="minorHAnsi" w:cstheme="minorHAnsi"/>
          <w:b/>
          <w:sz w:val="24"/>
          <w:szCs w:val="24"/>
          <w:highlight w:val="yellow"/>
          <w:lang w:val="es-ES_tradnl"/>
        </w:rPr>
        <w:t>Nombre o razón social del comprador</w:t>
      </w:r>
      <w:r w:rsidRPr="00F311BA">
        <w:rPr>
          <w:rFonts w:asciiTheme="minorHAnsi" w:hAnsiTheme="minorHAnsi" w:cstheme="minorHAnsi"/>
          <w:b/>
          <w:spacing w:val="-2"/>
          <w:sz w:val="24"/>
          <w:szCs w:val="24"/>
          <w:highlight w:val="yellow"/>
          <w:lang w:val="es-CL"/>
        </w:rPr>
        <w:t>)</w:t>
      </w:r>
    </w:p>
    <w:p w14:paraId="277FDD98" w14:textId="77777777" w:rsidR="0066670E" w:rsidRPr="00F311BA" w:rsidRDefault="0066670E" w:rsidP="008D38C6">
      <w:pPr>
        <w:widowControl w:val="0"/>
        <w:spacing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  <w:lang w:val="es-CL"/>
        </w:rPr>
      </w:pPr>
    </w:p>
    <w:p w14:paraId="6F64D30D" w14:textId="77777777" w:rsidR="0066670E" w:rsidRPr="00F311BA" w:rsidRDefault="0066670E" w:rsidP="008D38C6">
      <w:pPr>
        <w:widowControl w:val="0"/>
        <w:spacing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  <w:lang w:val="es-CL"/>
        </w:rPr>
      </w:pPr>
    </w:p>
    <w:p w14:paraId="0A019AD4" w14:textId="1E5E1385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En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(</w:t>
      </w:r>
      <w:r w:rsidR="00802638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comuna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, a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(fecha)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, se ha convenido el presente contrato de compraventa de acciones (en adelante el “</w:t>
      </w:r>
      <w:r w:rsidRPr="00F311BA">
        <w:rPr>
          <w:rFonts w:asciiTheme="minorHAnsi" w:hAnsiTheme="minorHAnsi" w:cstheme="minorHAnsi"/>
          <w:sz w:val="24"/>
          <w:szCs w:val="24"/>
          <w:u w:val="single"/>
          <w:lang w:val="es-ES_tradnl"/>
        </w:rPr>
        <w:t>Contrato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”) entre las partes que se indican a continuación: </w:t>
      </w:r>
    </w:p>
    <w:p w14:paraId="7A9D694A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3DD3785" w14:textId="77777777" w:rsidR="0066670E" w:rsidRPr="00F311BA" w:rsidRDefault="0066670E" w:rsidP="008D38C6">
      <w:pPr>
        <w:pStyle w:val="Prrafodelista"/>
        <w:numPr>
          <w:ilvl w:val="0"/>
          <w:numId w:val="2"/>
        </w:numPr>
        <w:spacing w:line="360" w:lineRule="auto"/>
        <w:ind w:left="851" w:hanging="851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highlight w:val="yellow"/>
          <w:lang w:val="es-ES_tradnl"/>
        </w:rPr>
        <w:t>(indicar nombre o razón social del vendedor)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, cédula nacional de identidad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(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número de RUN o RUT)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,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(nacionalidad)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 xml:space="preserve">,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(estado civil)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 xml:space="preserve">,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(profesión u oficio)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ES_tradnl"/>
        </w:rPr>
        <w:t xml:space="preserve">; domiciliado, para estos efectos, en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ES_tradnl"/>
        </w:rPr>
        <w:t>(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domicilio)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(en adelante e indistintamente el “</w:t>
      </w:r>
      <w:r w:rsidRPr="00F311BA">
        <w:rPr>
          <w:rFonts w:asciiTheme="minorHAnsi" w:hAnsiTheme="minorHAnsi" w:cstheme="minorHAnsi"/>
          <w:bCs/>
          <w:sz w:val="24"/>
          <w:szCs w:val="24"/>
          <w:u w:val="single"/>
          <w:lang w:val="es-ES_tradnl"/>
        </w:rPr>
        <w:t>Vendedor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”);  y </w:t>
      </w:r>
    </w:p>
    <w:p w14:paraId="58A791B4" w14:textId="77777777" w:rsidR="0066670E" w:rsidRPr="00F311BA" w:rsidRDefault="0066670E" w:rsidP="008D38C6">
      <w:pPr>
        <w:pStyle w:val="Prrafodelista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F8D7C8F" w14:textId="77777777" w:rsidR="0066670E" w:rsidRPr="00F311BA" w:rsidRDefault="0066670E" w:rsidP="008D38C6">
      <w:pPr>
        <w:pStyle w:val="Prrafodelista"/>
        <w:numPr>
          <w:ilvl w:val="0"/>
          <w:numId w:val="2"/>
        </w:numPr>
        <w:spacing w:line="360" w:lineRule="auto"/>
        <w:ind w:left="851" w:hanging="851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highlight w:val="yellow"/>
          <w:lang w:val="es-ES_tradnl"/>
        </w:rPr>
        <w:t>(nombre o razón social del comprador)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 xml:space="preserve">, 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cédula nacional de identidad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(número de RUN o RUT)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,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(nacionalidad)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 xml:space="preserve">,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(estado civil)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 xml:space="preserve">,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(indicar profesión u oficio)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>,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ES_tradnl"/>
        </w:rPr>
        <w:t xml:space="preserve"> domiciliado, para estos efectos, en </w:t>
      </w:r>
      <w:r w:rsidRPr="00F311BA">
        <w:rPr>
          <w:rFonts w:asciiTheme="minorHAnsi" w:hAnsiTheme="minorHAnsi" w:cstheme="minorHAnsi"/>
          <w:spacing w:val="-2"/>
          <w:sz w:val="24"/>
          <w:szCs w:val="24"/>
          <w:highlight w:val="yellow"/>
          <w:lang w:val="es-CL"/>
        </w:rPr>
        <w:t>(domicilio)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>(en adelante e indistintamente el “</w:t>
      </w:r>
      <w:r w:rsidRPr="00F311BA">
        <w:rPr>
          <w:rFonts w:asciiTheme="minorHAnsi" w:hAnsiTheme="minorHAnsi" w:cstheme="minorHAnsi"/>
          <w:spacing w:val="-2"/>
          <w:sz w:val="24"/>
          <w:szCs w:val="24"/>
          <w:u w:val="single"/>
          <w:lang w:val="es-CL"/>
        </w:rPr>
        <w:t>Comprador</w:t>
      </w:r>
      <w:r w:rsidRPr="00F311BA">
        <w:rPr>
          <w:rFonts w:asciiTheme="minorHAnsi" w:hAnsiTheme="minorHAnsi" w:cstheme="minorHAnsi"/>
          <w:spacing w:val="-2"/>
          <w:sz w:val="24"/>
          <w:szCs w:val="24"/>
          <w:lang w:val="es-CL"/>
        </w:rPr>
        <w:t xml:space="preserve">”, y 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referido en conjunto con el Vendedor como las “</w:t>
      </w:r>
      <w:r w:rsidRPr="00F311BA">
        <w:rPr>
          <w:rFonts w:asciiTheme="minorHAnsi" w:hAnsiTheme="minorHAnsi" w:cstheme="minorHAnsi"/>
          <w:sz w:val="24"/>
          <w:szCs w:val="24"/>
          <w:u w:val="single"/>
          <w:lang w:val="es-ES_tradnl"/>
        </w:rPr>
        <w:t>Partes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”). </w:t>
      </w:r>
    </w:p>
    <w:p w14:paraId="61F04F71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B24858E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PRIMERO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: </w:t>
      </w:r>
      <w:r w:rsidRPr="00F311BA">
        <w:rPr>
          <w:rFonts w:asciiTheme="minorHAnsi" w:hAnsiTheme="minorHAnsi" w:cstheme="minorHAnsi"/>
          <w:b/>
          <w:snapToGrid w:val="0"/>
          <w:sz w:val="24"/>
          <w:szCs w:val="24"/>
          <w:lang w:val="es-ES_tradnl"/>
        </w:rPr>
        <w:t>Antecedentes</w:t>
      </w:r>
      <w:r w:rsidRPr="00F311BA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. </w:t>
      </w:r>
    </w:p>
    <w:p w14:paraId="23247AD2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498882C9" w14:textId="56BBC0E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(Indicar nombre de la sociedad cuyas acciones se venden)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, </w:t>
      </w:r>
      <w:r w:rsidR="00802638"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fue constituida con fecha </w:t>
      </w:r>
      <w:r w:rsidR="00802638"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(indicar fecha)</w:t>
      </w:r>
      <w:r w:rsidR="00802638">
        <w:rPr>
          <w:rFonts w:asciiTheme="minorHAnsi" w:hAnsiTheme="minorHAnsi" w:cstheme="minorHAnsi"/>
          <w:sz w:val="24"/>
          <w:szCs w:val="24"/>
          <w:lang w:val="es-CL"/>
        </w:rPr>
        <w:t xml:space="preserve"> y </w:t>
      </w:r>
      <w:r w:rsidR="00802638">
        <w:rPr>
          <w:rFonts w:asciiTheme="minorHAnsi" w:hAnsiTheme="minorHAnsi" w:cstheme="minorHAnsi"/>
          <w:sz w:val="24"/>
          <w:szCs w:val="24"/>
          <w:lang w:val="es-ES_tradnl"/>
        </w:rPr>
        <w:t xml:space="preserve">se encuentra inscrita en 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el Registro de Empresas y Sociedades</w:t>
      </w:r>
      <w:r w:rsidR="00802638">
        <w:rPr>
          <w:rFonts w:asciiTheme="minorHAnsi" w:hAnsiTheme="minorHAnsi" w:cstheme="minorHAnsi"/>
          <w:sz w:val="24"/>
          <w:szCs w:val="24"/>
          <w:lang w:val="es-ES_tradnl"/>
        </w:rPr>
        <w:t xml:space="preserve">, </w:t>
      </w:r>
      <w:r w:rsidR="00802638"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de conformidad a la ley </w:t>
      </w:r>
      <w:proofErr w:type="spellStart"/>
      <w:r w:rsidR="00802638" w:rsidRPr="00F311BA">
        <w:rPr>
          <w:rFonts w:asciiTheme="minorHAnsi" w:hAnsiTheme="minorHAnsi" w:cstheme="minorHAnsi"/>
          <w:sz w:val="24"/>
          <w:szCs w:val="24"/>
          <w:lang w:val="es-ES_tradnl"/>
        </w:rPr>
        <w:t>N°</w:t>
      </w:r>
      <w:proofErr w:type="spellEnd"/>
      <w:r w:rsidR="00802638"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20.659</w:t>
      </w: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. </w:t>
      </w:r>
      <w:r w:rsidR="00802638">
        <w:rPr>
          <w:rFonts w:asciiTheme="minorHAnsi" w:hAnsiTheme="minorHAnsi" w:cstheme="minorHAnsi"/>
          <w:sz w:val="24"/>
          <w:szCs w:val="24"/>
          <w:lang w:val="es-CL"/>
        </w:rPr>
        <w:t xml:space="preserve">con </w:t>
      </w: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el </w:t>
      </w:r>
      <w:r w:rsidR="00802638">
        <w:rPr>
          <w:rFonts w:asciiTheme="minorHAnsi" w:hAnsiTheme="minorHAnsi" w:cstheme="minorHAnsi"/>
          <w:sz w:val="24"/>
          <w:szCs w:val="24"/>
          <w:lang w:val="es-CL"/>
        </w:rPr>
        <w:t xml:space="preserve">RUT </w:t>
      </w:r>
      <w:proofErr w:type="spellStart"/>
      <w:r w:rsidRPr="00F311BA">
        <w:rPr>
          <w:rFonts w:asciiTheme="minorHAnsi" w:hAnsiTheme="minorHAnsi" w:cstheme="minorHAnsi"/>
          <w:sz w:val="24"/>
          <w:szCs w:val="24"/>
          <w:lang w:val="es-CL"/>
        </w:rPr>
        <w:t>N°</w:t>
      </w:r>
      <w:proofErr w:type="spellEnd"/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(indicar)</w:t>
      </w:r>
      <w:r w:rsidRPr="00F311BA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14:paraId="150E3137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5C82B670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A la fecha, la Sociedad se encuentra vigente, y su capital estatutario asciende a la suma de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(indicar capital total de la sociedad cuyas acciones se venden)</w:t>
      </w: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 y se encuentra dividido en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(indicar número de acciones)</w:t>
      </w: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 acciones nominativas, todas de una misma serie y sin valor nominal. </w:t>
      </w:r>
    </w:p>
    <w:p w14:paraId="1D9DCE04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49F53570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L"/>
        </w:rPr>
      </w:pPr>
      <w:r w:rsidRPr="00F311BA">
        <w:rPr>
          <w:rFonts w:asciiTheme="minorHAnsi" w:hAnsiTheme="minorHAnsi" w:cstheme="minorHAnsi"/>
          <w:b/>
          <w:sz w:val="24"/>
          <w:szCs w:val="24"/>
          <w:u w:val="single"/>
          <w:lang w:val="es-CL"/>
        </w:rPr>
        <w:lastRenderedPageBreak/>
        <w:t>SEGUNDO</w:t>
      </w:r>
      <w:r w:rsidRPr="00F311BA">
        <w:rPr>
          <w:rFonts w:asciiTheme="minorHAnsi" w:hAnsiTheme="minorHAnsi" w:cstheme="minorHAnsi"/>
          <w:b/>
          <w:sz w:val="24"/>
          <w:szCs w:val="24"/>
          <w:lang w:val="es-CL"/>
        </w:rPr>
        <w:t xml:space="preserve">: Propiedad sobre las Acciones. </w:t>
      </w:r>
    </w:p>
    <w:p w14:paraId="5F0FD630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5CE24E4E" w14:textId="35A42B1B" w:rsidR="00AA2062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El vendedor es dueño de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(indicar número de acciones)</w:t>
      </w: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 acciones de la Sociedad, según consta en el Registro de Accionistas</w:t>
      </w:r>
      <w:r w:rsidR="00AA2062" w:rsidRPr="00F311BA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14:paraId="761680F9" w14:textId="77777777" w:rsidR="00AA2062" w:rsidRPr="00F311BA" w:rsidRDefault="00AA2062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2C736139" w14:textId="7EA6B7B3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TERCERO</w:t>
      </w:r>
      <w:r w:rsidRPr="00F311BA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: Compraventa de acciones. </w:t>
      </w:r>
    </w:p>
    <w:p w14:paraId="6165812D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0E198167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En este acto y por el presente instrumento, el Vendedor vende, cede y transfiere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(indicar número de acciones vendidas)</w:t>
      </w:r>
      <w:r w:rsidRPr="00F311BA">
        <w:rPr>
          <w:rFonts w:asciiTheme="minorHAnsi" w:hAnsiTheme="minorHAnsi" w:cstheme="minorHAnsi"/>
          <w:sz w:val="24"/>
          <w:szCs w:val="24"/>
          <w:lang w:val="es-CL"/>
        </w:rPr>
        <w:t xml:space="preserve"> acciones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al Comprador (en adelante las “</w:t>
      </w:r>
      <w:r w:rsidRPr="00F311BA">
        <w:rPr>
          <w:rFonts w:asciiTheme="minorHAnsi" w:hAnsiTheme="minorHAnsi" w:cstheme="minorHAnsi"/>
          <w:sz w:val="24"/>
          <w:szCs w:val="24"/>
          <w:u w:val="single"/>
          <w:lang w:val="es-ES_tradnl"/>
        </w:rPr>
        <w:t>Acci</w:t>
      </w:r>
      <w:r w:rsidR="00B840A1" w:rsidRPr="00F311BA">
        <w:rPr>
          <w:rFonts w:asciiTheme="minorHAnsi" w:hAnsiTheme="minorHAnsi" w:cstheme="minorHAnsi"/>
          <w:sz w:val="24"/>
          <w:szCs w:val="24"/>
          <w:u w:val="single"/>
          <w:lang w:val="es-ES_tradnl"/>
        </w:rPr>
        <w:t>ones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”), para quien compra, adquiere y acepta, en el precio señalado en la cláusula </w:t>
      </w:r>
      <w:r w:rsidR="00B840A1" w:rsidRPr="00F311BA">
        <w:rPr>
          <w:rFonts w:asciiTheme="minorHAnsi" w:hAnsiTheme="minorHAnsi" w:cstheme="minorHAnsi"/>
          <w:sz w:val="24"/>
          <w:szCs w:val="24"/>
          <w:lang w:val="es-ES_tradnl"/>
        </w:rPr>
        <w:t>“Precio de la Venta”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. </w:t>
      </w:r>
    </w:p>
    <w:p w14:paraId="03860F09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48FB6BBD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CUARTO</w:t>
      </w:r>
      <w:r w:rsidRPr="00F311BA">
        <w:rPr>
          <w:rFonts w:asciiTheme="minorHAnsi" w:hAnsiTheme="minorHAnsi" w:cstheme="minorHAnsi"/>
          <w:b/>
          <w:sz w:val="24"/>
          <w:szCs w:val="24"/>
          <w:lang w:val="es-ES_tradnl"/>
        </w:rPr>
        <w:t>: Precio de la Venta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70611696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7AC6C08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El precio de la compraventa de la</w:t>
      </w:r>
      <w:r w:rsidR="00B840A1" w:rsidRPr="00F311BA">
        <w:rPr>
          <w:rFonts w:asciiTheme="minorHAnsi" w:hAnsiTheme="minorHAnsi" w:cstheme="minorHAnsi"/>
          <w:sz w:val="24"/>
          <w:szCs w:val="24"/>
          <w:lang w:val="es-ES_tradnl"/>
        </w:rPr>
        <w:t>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Acci</w:t>
      </w:r>
      <w:r w:rsidR="009D5F88" w:rsidRPr="00F311BA">
        <w:rPr>
          <w:rFonts w:asciiTheme="minorHAnsi" w:hAnsiTheme="minorHAnsi" w:cstheme="minorHAnsi"/>
          <w:sz w:val="24"/>
          <w:szCs w:val="24"/>
          <w:lang w:val="es-ES_tradnl"/>
        </w:rPr>
        <w:t>o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="00B840A1" w:rsidRPr="00F311BA">
        <w:rPr>
          <w:rFonts w:asciiTheme="minorHAnsi" w:hAnsiTheme="minorHAnsi" w:cstheme="minorHAnsi"/>
          <w:sz w:val="24"/>
          <w:szCs w:val="24"/>
          <w:lang w:val="es-ES_tradnl"/>
        </w:rPr>
        <w:t>es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corresponde a la cantidad única, total y definitiva de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(indicar precio)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(en adelante el “</w:t>
      </w:r>
      <w:r w:rsidRPr="00F311BA">
        <w:rPr>
          <w:rFonts w:asciiTheme="minorHAnsi" w:hAnsiTheme="minorHAnsi" w:cstheme="minorHAnsi"/>
          <w:sz w:val="24"/>
          <w:szCs w:val="24"/>
          <w:u w:val="single"/>
          <w:lang w:val="es-ES_tradnl"/>
        </w:rPr>
        <w:t>Precio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”), precio que el Comprador paga al Vendedor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de contado y en dinero efectivo en este mismo acto, declarando el Vendedor haberlo recibido a su entera y total conformidad, dando por íntegramente pagado y cancelado el Precio</w:t>
      </w:r>
      <w:r w:rsidRPr="00F311BA">
        <w:rPr>
          <w:rFonts w:asciiTheme="minorHAnsi" w:hAnsiTheme="minorHAnsi" w:cstheme="minorHAnsi"/>
          <w:snapToGrid w:val="0"/>
          <w:sz w:val="24"/>
          <w:szCs w:val="24"/>
          <w:highlight w:val="yellow"/>
          <w:lang w:val="es-ES_tradnl"/>
        </w:rPr>
        <w:t>. Asimismo, el Comprador declara haber recibido el Título a su entera conformidad.</w:t>
      </w:r>
      <w:r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 xml:space="preserve"> </w:t>
      </w:r>
    </w:p>
    <w:p w14:paraId="0CB94C58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val="es-ES_tradnl"/>
        </w:rPr>
      </w:pPr>
    </w:p>
    <w:p w14:paraId="3BB292DA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napToGrid w:val="0"/>
          <w:sz w:val="24"/>
          <w:szCs w:val="24"/>
          <w:u w:val="single"/>
          <w:lang w:val="es-ES_tradnl"/>
        </w:rPr>
        <w:t>QUINTO</w:t>
      </w:r>
      <w:r w:rsidRPr="00F311BA">
        <w:rPr>
          <w:rFonts w:asciiTheme="minorHAnsi" w:hAnsiTheme="minorHAnsi" w:cstheme="minorHAnsi"/>
          <w:b/>
          <w:snapToGrid w:val="0"/>
          <w:sz w:val="24"/>
          <w:szCs w:val="24"/>
          <w:lang w:val="es-ES_tradnl"/>
        </w:rPr>
        <w:t xml:space="preserve">: Condiciones de Transferencia. </w:t>
      </w:r>
    </w:p>
    <w:p w14:paraId="4CB88897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  <w:lang w:val="es-ES_tradnl"/>
        </w:rPr>
      </w:pPr>
    </w:p>
    <w:p w14:paraId="5E5CE910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>La</w:t>
      </w:r>
      <w:r w:rsidR="00B840A1"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>s</w:t>
      </w:r>
      <w:r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 xml:space="preserve"> Acci</w:t>
      </w:r>
      <w:r w:rsidR="00B840A1"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>ones</w:t>
      </w:r>
      <w:r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 xml:space="preserve"> se transfiere</w:t>
      </w:r>
      <w:r w:rsidR="00B840A1"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>n</w:t>
      </w:r>
      <w:r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 xml:space="preserve"> al Comprador libre de gravámenes, prendas, usufructos, embargos, medidas precautorias, litigios, prohibiciones, deudas, derechos de terceros, pactos de accionistas, condiciones resolutorias y de cualquier otro derecho real distinto al del dominio, debiendo el Vendedor responder del saneamiento de la evicción de conformidad a las reglas generales. </w:t>
      </w:r>
    </w:p>
    <w:p w14:paraId="2D65ED58" w14:textId="77777777" w:rsidR="009D5F88" w:rsidRPr="00F311BA" w:rsidRDefault="009D5F88" w:rsidP="008D38C6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val="es-ES_tradnl"/>
        </w:rPr>
      </w:pPr>
    </w:p>
    <w:p w14:paraId="3A4F1D57" w14:textId="77777777" w:rsidR="009D5F88" w:rsidRPr="00F311BA" w:rsidRDefault="009D5F88" w:rsidP="009D5F88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napToGrid w:val="0"/>
          <w:sz w:val="24"/>
          <w:szCs w:val="24"/>
          <w:lang w:val="es-ES_tradnl"/>
        </w:rPr>
        <w:t xml:space="preserve">Asimismo, el Comprador declara que conoce la normativa legal que regula al tipo social a que corresponde la sociedad cuyas acciones se transan por medio de este instrumento, el estatuto de la sociedad y las protecciones que en ellos puedan o no existir respecto del interés de los accionistas. </w:t>
      </w:r>
    </w:p>
    <w:p w14:paraId="08255A51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val="es-ES_tradnl"/>
        </w:rPr>
      </w:pPr>
    </w:p>
    <w:p w14:paraId="1C068263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SEXTO</w:t>
      </w:r>
      <w:r w:rsidRPr="00F311BA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: Domicilio. </w:t>
      </w:r>
    </w:p>
    <w:p w14:paraId="40C4C2D7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577398C2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 xml:space="preserve">Para todos los efectos legales, las Partes fijan su domicilio en 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(indicar ciudad)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y se someten a la competencia de sus Tribunales Ordinarios de Justicia. </w:t>
      </w:r>
    </w:p>
    <w:p w14:paraId="08B81E7A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</w:pPr>
    </w:p>
    <w:p w14:paraId="1A75D330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SÉPTIMO</w:t>
      </w:r>
      <w:r w:rsidRPr="00F311BA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: Ejemplares. </w:t>
      </w:r>
    </w:p>
    <w:p w14:paraId="35339A00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17A7C95F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El presente instrumento se firma en [</w:t>
      </w:r>
      <w:r w:rsidRPr="00F311BA">
        <w:rPr>
          <w:rFonts w:asciiTheme="minorHAnsi" w:hAnsiTheme="minorHAnsi" w:cstheme="minorHAnsi"/>
          <w:sz w:val="24"/>
          <w:szCs w:val="24"/>
          <w:highlight w:val="yellow"/>
          <w:lang w:val="es-ES_tradnl"/>
        </w:rPr>
        <w:t>3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] ejemplares originales del mismo tenor y fecha, quedando dos en poder del Comprador y uno en poder del Vendedor. </w:t>
      </w:r>
    </w:p>
    <w:p w14:paraId="1AE4ED0C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B66AD4A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OCTAVO</w:t>
      </w:r>
      <w:r w:rsidRPr="00F311BA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: Poder al Portador. </w:t>
      </w:r>
    </w:p>
    <w:p w14:paraId="0D12D81D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26F9770D" w14:textId="77777777" w:rsidR="0066670E" w:rsidRPr="00F311BA" w:rsidRDefault="0066670E" w:rsidP="008D38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Se faculta al portador de un ejemplar original del presente instrumento para requerir las anotaciones, inscripciones y </w:t>
      </w:r>
      <w:proofErr w:type="spellStart"/>
      <w:r w:rsidRPr="00F311BA">
        <w:rPr>
          <w:rFonts w:asciiTheme="minorHAnsi" w:hAnsiTheme="minorHAnsi" w:cstheme="minorHAnsi"/>
          <w:sz w:val="24"/>
          <w:szCs w:val="24"/>
          <w:lang w:val="es-ES_tradnl"/>
        </w:rPr>
        <w:t>subinscripciones</w:t>
      </w:r>
      <w:proofErr w:type="spellEnd"/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que procedan o sean pertinentes, en especial, para requerir la inscripción de la</w:t>
      </w:r>
      <w:r w:rsidR="00B840A1" w:rsidRPr="00F311BA">
        <w:rPr>
          <w:rFonts w:asciiTheme="minorHAnsi" w:hAnsiTheme="minorHAnsi" w:cstheme="minorHAnsi"/>
          <w:sz w:val="24"/>
          <w:szCs w:val="24"/>
          <w:lang w:val="es-ES_tradnl"/>
        </w:rPr>
        <w:t>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Acci</w:t>
      </w:r>
      <w:r w:rsidR="00B840A1" w:rsidRPr="00F311BA">
        <w:rPr>
          <w:rFonts w:asciiTheme="minorHAnsi" w:hAnsiTheme="minorHAnsi" w:cstheme="minorHAnsi"/>
          <w:sz w:val="24"/>
          <w:szCs w:val="24"/>
          <w:lang w:val="es-ES_tradnl"/>
        </w:rPr>
        <w:t>ones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transferida</w:t>
      </w:r>
      <w:r w:rsidR="00B840A1" w:rsidRPr="00F311BA">
        <w:rPr>
          <w:rFonts w:asciiTheme="minorHAnsi" w:hAnsiTheme="minorHAnsi" w:cstheme="minorHAnsi"/>
          <w:sz w:val="24"/>
          <w:szCs w:val="24"/>
          <w:lang w:val="es-ES_tradnl"/>
        </w:rPr>
        <w:t>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 xml:space="preserve"> a nombre del Comprador en el Registro de Accionistas de la Sociedad, y </w:t>
      </w:r>
      <w:r w:rsidR="00B840A1" w:rsidRPr="00F311BA">
        <w:rPr>
          <w:rFonts w:asciiTheme="minorHAnsi" w:hAnsiTheme="minorHAnsi" w:cstheme="minorHAnsi"/>
          <w:sz w:val="24"/>
          <w:szCs w:val="24"/>
          <w:lang w:val="es-ES_tradnl"/>
        </w:rPr>
        <w:t>comunicarla al Servicio de Impuestos Internos</w:t>
      </w:r>
      <w:r w:rsidRPr="00F311BA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89"/>
      </w:tblGrid>
      <w:tr w:rsidR="0066670E" w:rsidRPr="00F311BA" w14:paraId="439D074A" w14:textId="77777777" w:rsidTr="00517090">
        <w:trPr>
          <w:jc w:val="center"/>
        </w:trPr>
        <w:tc>
          <w:tcPr>
            <w:tcW w:w="7789" w:type="dxa"/>
            <w:shd w:val="clear" w:color="auto" w:fill="auto"/>
          </w:tcPr>
          <w:p w14:paraId="4015F495" w14:textId="77777777" w:rsidR="0066670E" w:rsidRPr="00F311BA" w:rsidRDefault="0066670E" w:rsidP="008D38C6">
            <w:pPr>
              <w:widowControl w:val="0"/>
              <w:spacing w:line="360" w:lineRule="auto"/>
              <w:rPr>
                <w:rFonts w:asciiTheme="minorHAnsi" w:hAnsiTheme="minorHAnsi" w:cstheme="minorHAnsi"/>
                <w:spacing w:val="-2"/>
                <w:sz w:val="24"/>
                <w:szCs w:val="24"/>
                <w:lang w:val="es-CL"/>
              </w:rPr>
            </w:pPr>
          </w:p>
          <w:p w14:paraId="2554BF50" w14:textId="77777777" w:rsidR="0066670E" w:rsidRPr="00F311BA" w:rsidRDefault="0066670E" w:rsidP="008D38C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s-C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58"/>
            </w:tblGrid>
            <w:tr w:rsidR="0066670E" w:rsidRPr="00F311BA" w14:paraId="01FC81D2" w14:textId="77777777" w:rsidTr="00517090">
              <w:tc>
                <w:tcPr>
                  <w:tcW w:w="7558" w:type="dxa"/>
                  <w:shd w:val="clear" w:color="auto" w:fill="auto"/>
                </w:tcPr>
                <w:p w14:paraId="3F3C28F8" w14:textId="77777777" w:rsidR="0066670E" w:rsidRPr="00F311BA" w:rsidRDefault="0066670E" w:rsidP="008D38C6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  <w:highlight w:val="yellow"/>
                      <w:lang w:val="es-CL"/>
                    </w:rPr>
                  </w:pPr>
                </w:p>
              </w:tc>
            </w:tr>
          </w:tbl>
          <w:p w14:paraId="4F0D12F4" w14:textId="77777777" w:rsidR="0066670E" w:rsidRPr="00F311BA" w:rsidRDefault="0066670E" w:rsidP="008D38C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s-CL"/>
              </w:rPr>
            </w:pPr>
            <w:r w:rsidRPr="00F311BA">
              <w:rPr>
                <w:rFonts w:asciiTheme="minorHAnsi" w:hAnsiTheme="minorHAnsi" w:cstheme="minorHAnsi"/>
                <w:spacing w:val="-2"/>
                <w:sz w:val="24"/>
                <w:szCs w:val="24"/>
                <w:highlight w:val="yellow"/>
                <w:lang w:val="es-CL"/>
              </w:rPr>
              <w:t xml:space="preserve">pp. </w:t>
            </w:r>
            <w:r w:rsidRPr="00F311BA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highlight w:val="yellow"/>
                <w:lang w:val="es-CL"/>
              </w:rPr>
              <w:t xml:space="preserve">[indicar nombre o razón social </w:t>
            </w:r>
            <w:r w:rsidR="009D5F88" w:rsidRPr="00F311BA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highlight w:val="yellow"/>
                <w:lang w:val="es-CL"/>
              </w:rPr>
              <w:t xml:space="preserve">y RUT </w:t>
            </w:r>
            <w:r w:rsidRPr="00F311BA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highlight w:val="yellow"/>
                <w:lang w:val="es-CL"/>
              </w:rPr>
              <w:t>del vendedor]</w:t>
            </w:r>
          </w:p>
        </w:tc>
      </w:tr>
    </w:tbl>
    <w:p w14:paraId="7A2D7AE5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s-CL"/>
        </w:rPr>
      </w:pPr>
    </w:p>
    <w:p w14:paraId="3DD09B4D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lang w:val="es-CL"/>
        </w:rPr>
      </w:pPr>
    </w:p>
    <w:p w14:paraId="06E2B969" w14:textId="77777777" w:rsidR="0066670E" w:rsidRPr="00F311BA" w:rsidRDefault="0066670E" w:rsidP="008D38C6">
      <w:pPr>
        <w:widowControl w:val="0"/>
        <w:spacing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89"/>
      </w:tblGrid>
      <w:tr w:rsidR="0066670E" w:rsidRPr="00F311BA" w14:paraId="7E718C4C" w14:textId="77777777" w:rsidTr="00517090">
        <w:trPr>
          <w:jc w:val="center"/>
        </w:trPr>
        <w:tc>
          <w:tcPr>
            <w:tcW w:w="7789" w:type="dxa"/>
            <w:shd w:val="clear" w:color="auto" w:fill="auto"/>
          </w:tcPr>
          <w:p w14:paraId="7D3AE890" w14:textId="77777777" w:rsidR="0066670E" w:rsidRPr="00F311BA" w:rsidRDefault="0066670E" w:rsidP="008D38C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s-C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58"/>
            </w:tblGrid>
            <w:tr w:rsidR="0066670E" w:rsidRPr="00F311BA" w14:paraId="7EA402FA" w14:textId="77777777" w:rsidTr="00517090">
              <w:tc>
                <w:tcPr>
                  <w:tcW w:w="7558" w:type="dxa"/>
                  <w:shd w:val="clear" w:color="auto" w:fill="auto"/>
                </w:tcPr>
                <w:p w14:paraId="57F8CB81" w14:textId="77777777" w:rsidR="0066670E" w:rsidRPr="00F311BA" w:rsidRDefault="0066670E" w:rsidP="008D38C6">
                  <w:pPr>
                    <w:widowControl w:val="0"/>
                    <w:spacing w:line="360" w:lineRule="auto"/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  <w:highlight w:val="yellow"/>
                      <w:lang w:val="es-CL"/>
                    </w:rPr>
                  </w:pPr>
                </w:p>
              </w:tc>
            </w:tr>
          </w:tbl>
          <w:p w14:paraId="75133F55" w14:textId="77777777" w:rsidR="0066670E" w:rsidRPr="00F311BA" w:rsidRDefault="0066670E" w:rsidP="008D38C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s-CL"/>
              </w:rPr>
            </w:pPr>
            <w:r w:rsidRPr="00F311BA">
              <w:rPr>
                <w:rFonts w:asciiTheme="minorHAnsi" w:hAnsiTheme="minorHAnsi" w:cstheme="minorHAnsi"/>
                <w:spacing w:val="-2"/>
                <w:sz w:val="24"/>
                <w:szCs w:val="24"/>
                <w:highlight w:val="yellow"/>
                <w:lang w:val="es-CL"/>
              </w:rPr>
              <w:t xml:space="preserve">pp. </w:t>
            </w:r>
            <w:r w:rsidRPr="00F311BA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highlight w:val="yellow"/>
                <w:lang w:val="es-CL"/>
              </w:rPr>
              <w:t xml:space="preserve">[indicar nombre o razón social </w:t>
            </w:r>
            <w:r w:rsidR="009D5F88" w:rsidRPr="00F311BA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highlight w:val="yellow"/>
                <w:lang w:val="es-CL"/>
              </w:rPr>
              <w:t xml:space="preserve">y RUT </w:t>
            </w:r>
            <w:r w:rsidRPr="00F311BA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highlight w:val="yellow"/>
                <w:lang w:val="es-CL"/>
              </w:rPr>
              <w:t>del comprador]</w:t>
            </w:r>
          </w:p>
        </w:tc>
      </w:tr>
    </w:tbl>
    <w:p w14:paraId="65203984" w14:textId="77777777" w:rsidR="005B1D2D" w:rsidRPr="00F311BA" w:rsidRDefault="005B1D2D" w:rsidP="00802638">
      <w:pPr>
        <w:spacing w:line="360" w:lineRule="auto"/>
        <w:rPr>
          <w:rFonts w:asciiTheme="minorHAnsi" w:hAnsiTheme="minorHAnsi" w:cstheme="minorHAnsi"/>
          <w:lang w:val="es-CL"/>
        </w:rPr>
      </w:pPr>
    </w:p>
    <w:sectPr w:rsidR="005B1D2D" w:rsidRPr="00F311BA" w:rsidSect="008D38C6">
      <w:pgSz w:w="12242" w:h="18722" w:code="26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765"/>
    <w:multiLevelType w:val="hybridMultilevel"/>
    <w:tmpl w:val="A366F820"/>
    <w:lvl w:ilvl="0" w:tplc="0526D4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3194"/>
    <w:multiLevelType w:val="hybridMultilevel"/>
    <w:tmpl w:val="515A45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56585">
    <w:abstractNumId w:val="1"/>
  </w:num>
  <w:num w:numId="2" w16cid:durableId="92314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02"/>
    <w:rsid w:val="00286A22"/>
    <w:rsid w:val="00337563"/>
    <w:rsid w:val="004A64D7"/>
    <w:rsid w:val="005B1D2D"/>
    <w:rsid w:val="0066670E"/>
    <w:rsid w:val="00802638"/>
    <w:rsid w:val="008D38C6"/>
    <w:rsid w:val="00981602"/>
    <w:rsid w:val="009D5F88"/>
    <w:rsid w:val="00AA2062"/>
    <w:rsid w:val="00B77BFD"/>
    <w:rsid w:val="00B840A1"/>
    <w:rsid w:val="00CB744D"/>
    <w:rsid w:val="00CE5DD4"/>
    <w:rsid w:val="00F3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583F"/>
  <w15:chartTrackingRefBased/>
  <w15:docId w15:val="{303E8B19-F6B8-45F6-8E0A-58B4E8C1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6670E"/>
    <w:pPr>
      <w:widowControl w:val="0"/>
      <w:spacing w:line="360" w:lineRule="auto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66670E"/>
    <w:rPr>
      <w:rFonts w:ascii="Times New Roman" w:eastAsia="Times New Roman" w:hAnsi="Times New Roman" w:cs="Times New Roman"/>
      <w:b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66670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670E"/>
    <w:pPr>
      <w:ind w:left="720"/>
      <w:contextualSpacing/>
    </w:pPr>
  </w:style>
  <w:style w:type="paragraph" w:styleId="Revisin">
    <w:name w:val="Revision"/>
    <w:hidden/>
    <w:uiPriority w:val="99"/>
    <w:semiHidden/>
    <w:rsid w:val="00F3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4280E2BFD4D74695CC7FC4BEF78C49" ma:contentTypeVersion="16" ma:contentTypeDescription="Crear nuevo documento." ma:contentTypeScope="" ma:versionID="6aaef45006b06fb33bb24aa296ce1cc0">
  <xsd:schema xmlns:xsd="http://www.w3.org/2001/XMLSchema" xmlns:xs="http://www.w3.org/2001/XMLSchema" xmlns:p="http://schemas.microsoft.com/office/2006/metadata/properties" xmlns:ns2="d7c5c1b5-08df-43c4-83ff-3c691d125352" xmlns:ns3="db435b19-351b-4a1c-ae3d-6507bb635baa" targetNamespace="http://schemas.microsoft.com/office/2006/metadata/properties" ma:root="true" ma:fieldsID="dd4cdf41ce85600dcdc7c7d404e5a4af" ns2:_="" ns3:_="">
    <xsd:import namespace="d7c5c1b5-08df-43c4-83ff-3c691d125352"/>
    <xsd:import namespace="db435b19-351b-4a1c-ae3d-6507bb635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1b5-08df-43c4-83ff-3c691d125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ba3e9c4-acb9-4b99-8582-8c158fb26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5b19-351b-4a1c-ae3d-6507bb635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e017a-59cc-4945-ad6d-3b83af53a163}" ma:internalName="TaxCatchAll" ma:showField="CatchAllData" ma:web="db435b19-351b-4a1c-ae3d-6507bb635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1DA82-B0E6-4D19-BA36-05F41765DA08}"/>
</file>

<file path=customXml/itemProps2.xml><?xml version="1.0" encoding="utf-8"?>
<ds:datastoreItem xmlns:ds="http://schemas.openxmlformats.org/officeDocument/2006/customXml" ds:itemID="{A8B8806D-6384-4982-B55C-52E4E2598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Patricio Carter Misetic</dc:creator>
  <cp:keywords/>
  <dc:description/>
  <cp:lastModifiedBy>Claudio Andres Zapata Abarca</cp:lastModifiedBy>
  <cp:revision>3</cp:revision>
  <cp:lastPrinted>2022-11-30T13:36:00Z</cp:lastPrinted>
  <dcterms:created xsi:type="dcterms:W3CDTF">2022-11-30T14:41:00Z</dcterms:created>
  <dcterms:modified xsi:type="dcterms:W3CDTF">2022-11-30T14:41:00Z</dcterms:modified>
</cp:coreProperties>
</file>